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0E30" w14:textId="77777777" w:rsidR="00B20E2E" w:rsidRPr="00B20E2E" w:rsidRDefault="00B20E2E" w:rsidP="00B20E2E">
      <w:pPr>
        <w:shd w:val="clear" w:color="auto" w:fill="FFFFFF"/>
        <w:spacing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da-DK"/>
        </w:rPr>
      </w:pPr>
      <w:r w:rsidRPr="00B20E2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da-DK"/>
        </w:rPr>
        <w:t>Próvtøkuhættir</w:t>
      </w:r>
    </w:p>
    <w:p w14:paraId="28B534D6" w14:textId="77777777" w:rsidR="00B20E2E" w:rsidRPr="00B20E2E" w:rsidRDefault="00B20E2E" w:rsidP="00B20E2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B2B2B"/>
          <w:lang w:eastAsia="da-DK"/>
        </w:rPr>
      </w:pPr>
      <w:r w:rsidRPr="00B20E2E">
        <w:rPr>
          <w:rFonts w:ascii="Times New Roman" w:eastAsia="Times New Roman" w:hAnsi="Times New Roman" w:cs="Times New Roman"/>
          <w:color w:val="2B2B2B"/>
          <w:lang w:eastAsia="da-DK"/>
        </w:rPr>
        <w:t>Hildin verður ein munnlig próvtøka.</w:t>
      </w:r>
    </w:p>
    <w:p w14:paraId="4AB8B0B6" w14:textId="77777777" w:rsidR="00B20E2E" w:rsidRPr="00B20E2E" w:rsidRDefault="00B20E2E" w:rsidP="00B20E2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B2B2B"/>
          <w:lang w:eastAsia="da-DK"/>
        </w:rPr>
      </w:pPr>
      <w:r w:rsidRPr="00B20E2E">
        <w:rPr>
          <w:rFonts w:ascii="Times New Roman" w:eastAsia="Times New Roman" w:hAnsi="Times New Roman" w:cs="Times New Roman"/>
          <w:color w:val="2B2B2B"/>
          <w:lang w:eastAsia="da-DK"/>
        </w:rPr>
        <w:t>Próvhoyringin varir 20 minuttir, íroknað próvdøming. Fyrireikingartíðin er 20 minuttir íroknað útflýggjan av tilfari og vegleiðing.</w:t>
      </w:r>
    </w:p>
    <w:p w14:paraId="2A600E16" w14:textId="77777777" w:rsidR="00B20E2E" w:rsidRPr="00B20E2E" w:rsidRDefault="00B20E2E" w:rsidP="00B20E2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B2B2B"/>
          <w:lang w:eastAsia="da-DK"/>
        </w:rPr>
      </w:pPr>
      <w:r w:rsidRPr="00B20E2E">
        <w:rPr>
          <w:rFonts w:ascii="Times New Roman" w:eastAsia="Times New Roman" w:hAnsi="Times New Roman" w:cs="Times New Roman"/>
          <w:color w:val="2B2B2B"/>
          <w:lang w:eastAsia="da-DK"/>
        </w:rPr>
        <w:t>Próvtøkuspurningarnir verða settir við støði í evnum, økjum o.tíl., bæði úr kjarnatilfarinum og ískoytistilfarinum. Próvhoyringin er ein faklig samtala millum próvtakara og próvhoyrara, og tekur samtalan støði í framløgu próvtakarans av tilfari og próvtøkuspurningi, sum próvtakarin hevur arbeitt við í fyrireikingartíðini.</w:t>
      </w:r>
    </w:p>
    <w:p w14:paraId="42091EE9" w14:textId="77777777" w:rsidR="00B20E2E" w:rsidRPr="00B20E2E" w:rsidRDefault="00B20E2E" w:rsidP="00B20E2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B2B2B"/>
          <w:lang w:eastAsia="da-DK"/>
        </w:rPr>
      </w:pPr>
      <w:r w:rsidRPr="00B20E2E">
        <w:rPr>
          <w:rFonts w:ascii="Times New Roman" w:eastAsia="Times New Roman" w:hAnsi="Times New Roman" w:cs="Times New Roman"/>
          <w:color w:val="2B2B2B"/>
          <w:lang w:eastAsia="da-DK"/>
        </w:rPr>
        <w:t>Grundarlagið fyri próvtøkuna er alt tilfar, sum er lisið í lærugreinini í 8. og 9. flokki.</w:t>
      </w:r>
    </w:p>
    <w:p w14:paraId="72F39DF8" w14:textId="77777777" w:rsidR="00B20E2E" w:rsidRPr="00B20E2E" w:rsidRDefault="00B20E2E" w:rsidP="00B20E2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B2B2B"/>
          <w:lang w:eastAsia="da-DK"/>
        </w:rPr>
      </w:pPr>
      <w:r w:rsidRPr="00B20E2E">
        <w:rPr>
          <w:rFonts w:ascii="Times New Roman" w:eastAsia="Times New Roman" w:hAnsi="Times New Roman" w:cs="Times New Roman"/>
          <w:color w:val="2B2B2B"/>
          <w:lang w:eastAsia="da-DK"/>
        </w:rPr>
        <w:t>Próvtøkutilfar og próvtøkuspurningar verða send próvdómaranum til góðkenningar sambært próvtøkukunngerðini.</w:t>
      </w:r>
    </w:p>
    <w:p w14:paraId="07001E52" w14:textId="77777777" w:rsidR="00B20E2E" w:rsidRPr="00B20E2E" w:rsidRDefault="00B20E2E" w:rsidP="00B20E2E">
      <w:pPr>
        <w:shd w:val="clear" w:color="auto" w:fill="FFFFFF"/>
        <w:spacing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da-DK"/>
        </w:rPr>
      </w:pPr>
      <w:bookmarkStart w:id="0" w:name="søga_sam_dømingargr_9"/>
      <w:bookmarkEnd w:id="0"/>
      <w:r w:rsidRPr="00B20E2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da-DK"/>
        </w:rPr>
        <w:t>Dømingargrundarlag</w:t>
      </w:r>
    </w:p>
    <w:p w14:paraId="2A97E092" w14:textId="77777777" w:rsidR="00B20E2E" w:rsidRPr="00B20E2E" w:rsidRDefault="00B20E2E" w:rsidP="00B20E2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B2B2B"/>
          <w:lang w:eastAsia="da-DK"/>
        </w:rPr>
      </w:pPr>
      <w:r w:rsidRPr="00B20E2E">
        <w:rPr>
          <w:rFonts w:ascii="Times New Roman" w:eastAsia="Times New Roman" w:hAnsi="Times New Roman" w:cs="Times New Roman"/>
          <w:color w:val="2B2B2B"/>
          <w:lang w:eastAsia="da-DK"/>
        </w:rPr>
        <w:t>Próvhoyrt verður í kendum tilfari, og tilfarið skal vera valt soleiðis, at tað í tema ella á annan hátt er knýtt at evnum, økjum o.tíl., sum arbeitt hevur verið við í undirvísingini. Tilfarið, ið er grundarlag undir munnligu próvtøkuni, skal í sínari heild síggja til, at øll faklig mál í lærugreinini eru umboðað.</w:t>
      </w:r>
    </w:p>
    <w:p w14:paraId="1F8EFE08" w14:textId="77777777" w:rsidR="00B20E2E" w:rsidRPr="00B20E2E" w:rsidRDefault="00B20E2E" w:rsidP="00B20E2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B2B2B"/>
          <w:lang w:eastAsia="da-DK"/>
        </w:rPr>
      </w:pPr>
      <w:r w:rsidRPr="00B20E2E">
        <w:rPr>
          <w:rFonts w:ascii="Times New Roman" w:eastAsia="Times New Roman" w:hAnsi="Times New Roman" w:cs="Times New Roman"/>
          <w:color w:val="2B2B2B"/>
          <w:lang w:eastAsia="da-DK"/>
        </w:rPr>
        <w:t>Próvtakarin skal við støði í fakligari tilgongd og støðisførleikunum sýna evni sjálvstøðugt at leggja fram og viðgera tilfar við støði í próvtøkuspurningi/um. Hann skal sýna, at hann dugir at taka fram týðandi tættir í tilfarinum, at seta teir í samband við tættir í undirvísningini og at seta próvtøkutilfarið í frásjón.</w:t>
      </w:r>
    </w:p>
    <w:p w14:paraId="4BB44D33" w14:textId="77777777" w:rsidR="00B20E2E" w:rsidRPr="00B20E2E" w:rsidRDefault="00B20E2E" w:rsidP="00B20E2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B2B2B"/>
          <w:lang w:eastAsia="da-DK"/>
        </w:rPr>
      </w:pPr>
      <w:r w:rsidRPr="00B20E2E">
        <w:rPr>
          <w:rFonts w:ascii="Times New Roman" w:eastAsia="Times New Roman" w:hAnsi="Times New Roman" w:cs="Times New Roman"/>
          <w:color w:val="2B2B2B"/>
          <w:lang w:eastAsia="da-DK"/>
        </w:rPr>
        <w:t>Dentur verður lagdur á, at próvtakarin dugir at greiða frá innihaldinum í tekstinum, seta hann inn í tíðarhøpi, so greitt sæst aftur, at próvtakarin hevur yvirlit yvir søguliga gongdina. Próvtakarin skal harumframt duga at seta próvhoyringartekstin inn í samtíðarhøpi.</w:t>
      </w:r>
    </w:p>
    <w:p w14:paraId="5F0284A1" w14:textId="77777777" w:rsidR="00B20E2E" w:rsidRPr="00B20E2E" w:rsidRDefault="00B20E2E" w:rsidP="00B20E2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B2B2B"/>
          <w:lang w:eastAsia="da-DK"/>
        </w:rPr>
      </w:pPr>
      <w:r w:rsidRPr="00B20E2E">
        <w:rPr>
          <w:rFonts w:ascii="Times New Roman" w:eastAsia="Times New Roman" w:hAnsi="Times New Roman" w:cs="Times New Roman"/>
          <w:color w:val="2B2B2B"/>
          <w:lang w:eastAsia="da-DK"/>
        </w:rPr>
        <w:t>Givið verður eitt próvtal við støði í einari heildarmeting av samlaða avriki próvtakarans.</w:t>
      </w:r>
    </w:p>
    <w:p w14:paraId="37DF8D5B" w14:textId="77777777" w:rsidR="00544377" w:rsidRPr="00B20E2E" w:rsidRDefault="00544377" w:rsidP="00B20E2E">
      <w:pPr>
        <w:spacing w:line="360" w:lineRule="auto"/>
        <w:rPr>
          <w:rFonts w:ascii="Times New Roman" w:hAnsi="Times New Roman" w:cs="Times New Roman"/>
        </w:rPr>
      </w:pPr>
    </w:p>
    <w:sectPr w:rsidR="00544377" w:rsidRPr="00B20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2E"/>
    <w:rsid w:val="00544377"/>
    <w:rsid w:val="00B2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ECB73B"/>
  <w15:chartTrackingRefBased/>
  <w15:docId w15:val="{6D4BDAA3-511E-AA49-9E74-A0006C6E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B20E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B20E2E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20E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1</cp:revision>
  <dcterms:created xsi:type="dcterms:W3CDTF">2023-05-22T11:24:00Z</dcterms:created>
  <dcterms:modified xsi:type="dcterms:W3CDTF">2023-05-22T11:25:00Z</dcterms:modified>
</cp:coreProperties>
</file>