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0E30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da-DK"/>
        </w:rPr>
      </w:pPr>
      <w:r w:rsidRPr="00B20E2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da-DK"/>
        </w:rPr>
        <w:t>Próvtøkuhættir</w:t>
      </w:r>
    </w:p>
    <w:p w14:paraId="28B534D6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Hildin verður ein munnlig próvtøka.</w:t>
      </w:r>
    </w:p>
    <w:p w14:paraId="4AB8B0B6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Próvhoyringin varir 20 minuttir, íroknað próvdøming. Fyrireikingartíðin er 20 minuttir íroknað útflýggjan av tilfari og vegleiðing.</w:t>
      </w:r>
    </w:p>
    <w:p w14:paraId="2A600E16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Próvtøkuspurningarnir verða settir við støði í evnum, økjum o.tíl., bæði úr kjarnatilfarinum og ískoytistilfarinum. Próvhoyringin er ein faklig samtala millum próvtakara og próvhoyrara, og tekur samtalan støði í framløgu próvtakarans av tilfari og próvtøkuspurningi, sum próvtakarin hevur arbeitt við í fyrireikingartíðini.</w:t>
      </w:r>
    </w:p>
    <w:p w14:paraId="42091EE9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Grundarlagið fyri próvtøkuna er alt tilfar, sum er lisið í lærugreinini í 8. og 9. flokki.</w:t>
      </w:r>
    </w:p>
    <w:p w14:paraId="72F39DF8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Próvtøkutilfar og próvtøkuspurningar verða send próvdómaranum til góðkenningar sambært próvtøkukunngerðini.</w:t>
      </w:r>
    </w:p>
    <w:p w14:paraId="07001E52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da-DK"/>
        </w:rPr>
      </w:pPr>
      <w:bookmarkStart w:id="0" w:name="søga_sam_dømingargr_9"/>
      <w:bookmarkEnd w:id="0"/>
      <w:r w:rsidRPr="00B20E2E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da-DK"/>
        </w:rPr>
        <w:t>Dømingargrundarlag</w:t>
      </w:r>
    </w:p>
    <w:p w14:paraId="2A97E092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Próvhoyrt verður í kendum tilfari, og tilfarið skal vera valt soleiðis, at tað í tema ella á annan hátt er knýtt at evnum, økjum o.tíl., sum arbeitt hevur verið við í undirvísingini. Tilfarið, ið er grundarlag undir munnligu próvtøkuni, skal í sínari heild síggja til, at øll faklig mál í lærugreinini eru umboðað.</w:t>
      </w:r>
    </w:p>
    <w:p w14:paraId="1F8EFE08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Próvtakarin skal við støði í fakligari tilgongd og støðisførleikunum sýna evni sjálvstøðugt at leggja fram og viðgera tilfar við støði í próvtøkuspurningi/um. Hann skal sýna, at hann dugir at taka fram týðandi tættir í tilfarinum, at seta teir í samband við tættir í undirvísningini og at seta próvtøkutilfarið í frásjón.</w:t>
      </w:r>
    </w:p>
    <w:p w14:paraId="4BB44D33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Dentur verður lagdur á, at próvtakarin dugir at greiða frá innihaldinum í tekstinum, seta hann inn í tíðarhøpi, so greitt sæst aftur, at próvtakarin hevur yvirlit yvir søguliga gongdina. Próvtakarin skal harumframt duga at seta próvhoyringartekstin inn í samtíðarhøpi.</w:t>
      </w:r>
    </w:p>
    <w:p w14:paraId="5F0284A1" w14:textId="77777777" w:rsidR="00B20E2E" w:rsidRPr="00B20E2E" w:rsidRDefault="00B20E2E" w:rsidP="00B20E2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2B2B2B"/>
          <w:lang w:eastAsia="da-DK"/>
        </w:rPr>
      </w:pPr>
      <w:r w:rsidRPr="00B20E2E">
        <w:rPr>
          <w:rFonts w:ascii="Times New Roman" w:eastAsia="Times New Roman" w:hAnsi="Times New Roman" w:cs="Times New Roman"/>
          <w:color w:val="2B2B2B"/>
          <w:lang w:eastAsia="da-DK"/>
        </w:rPr>
        <w:t>Givið verður eitt próvtal við støði í einari heildarmeting av samlaða avriki próvtakarans.</w:t>
      </w:r>
    </w:p>
    <w:p w14:paraId="37DF8D5B" w14:textId="77777777" w:rsidR="00544377" w:rsidRPr="00B20E2E" w:rsidRDefault="00544377" w:rsidP="00B20E2E">
      <w:pPr>
        <w:spacing w:line="360" w:lineRule="auto"/>
        <w:rPr>
          <w:rFonts w:ascii="Times New Roman" w:hAnsi="Times New Roman" w:cs="Times New Roman"/>
        </w:rPr>
      </w:pPr>
    </w:p>
    <w:sectPr w:rsidR="00544377" w:rsidRPr="00B20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2E"/>
    <w:rsid w:val="00544377"/>
    <w:rsid w:val="00B2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ECB73B"/>
  <w15:chartTrackingRefBased/>
  <w15:docId w15:val="{6D4BDAA3-511E-AA49-9E74-A0006C6E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B20E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B20E2E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B20E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2023-05-22T11:24:00Z</dcterms:created>
  <dcterms:modified xsi:type="dcterms:W3CDTF">2023-05-22T11:25:00Z</dcterms:modified>
</cp:coreProperties>
</file>