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C2884A" wp14:paraId="205A6F2F" wp14:textId="688E9A33">
      <w:pPr>
        <w:pStyle w:val="Normal"/>
      </w:pPr>
      <w:r w:rsidRPr="04C2884A" w:rsidR="4BB9134D">
        <w:rPr>
          <w:rFonts w:ascii="Aptos" w:hAnsi="Aptos" w:eastAsia="Aptos" w:cs="Aptos"/>
          <w:b w:val="1"/>
          <w:bCs w:val="1"/>
          <w:i w:val="0"/>
          <w:iCs w:val="0"/>
          <w:caps w:val="0"/>
          <w:smallCaps w:val="0"/>
          <w:noProof w:val="0"/>
          <w:color w:val="000000" w:themeColor="text1" w:themeTint="FF" w:themeShade="FF"/>
          <w:sz w:val="24"/>
          <w:szCs w:val="24"/>
          <w:lang w:val="da-DK"/>
        </w:rPr>
        <w:t xml:space="preserve">Vegleiðing um at gera lógaruppskot og uppskot til samtyktar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Lógaruppskot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Eitt lógaruppskot er sett saman av lógarteksti og viðmerkingum. Ein lógartekstur ásetir stutt og greitt tað, ið skotið verður upp at samtykkja, meðan tað í viðmerkingunum verður greitt frá, hvat lógaruppskotið snýr seg um, og hvat uppskotssetararnir ætla við uppskotinum.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Greinir (§) verða nýttar til at býta sundur lógartekstin á sama hátt, sum ein tekstur verður býttur sundur í kapitlar. Hetta býtið lættir um, tá leitast skal í eini lóg, og ger tað samstundis eisini møguligt at vera ógvuliga neyvur, tá víst verður til eina ávísa áseting í eini lóg.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Í viðmerkingunum til eitt lógaruppskot verður greitt frá, hví tað er neyðugt við lógaruppskotinum, og lógarteksturin verður gjølla lýstur.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Broytingaruppskot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Tað eru nógvar lógir í Føroyum, og tær lógir, sum galdandi eru í Føroyum í dag, finna tit á www.logir.fo. Tað  kemur ofta fyri, at tað verða gjørd broytingaruppskot til lógir, sum longu eru galdandi. Broytingaruppskot eru eisini sett saman av einum lógarteksti, har tær broytingar, sum gerast skulu, verða skrivaðar, og av viðmerkingum, har grundgivið verður fyri broytingunum.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Uppskot til samtyktar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Í einum uppskoti til samtyktar kann m.a. verða heitt á landsstýrið um at leggja eitt lógaruppskot fyri Løgtingið ella um at kanna ymisk viðurskifti. Uppskot til samtyktar er sett saman av sjálvari áheitanini á landsstýrið, og viðmerkingum til áheitanina, har grundgivið verður fyri, hví uppskotssetarin heldur, at landsstýrið eigur at leggja eina lóg fyri Løgtingið, ella hví landsstýrið eigur at kanna eitt ávíst mál nærri.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Tá tit skulu gera eitt uppskot til Ungdómstingið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Fá eina góða byrjan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Áðrenn tit byrja at skriva eitt lógaruppskot, broytingaruppskot, ella eitt uppskot til samtyktar, er tað eitt gott hugskot, at hava tikið støðu til nøkur ting fyrst.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Evni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Tit gera sjálvi av, hvat uppskotið skal snúgva seg um, men tit skulu finna eitt evni, sum tit hava hug at arbeiða við, og sum tit halda er týdningarmikið at fáa gjørt okkurt við.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Um tit ikki hava nakað hugskot um, hvat lógaruppskotið skal snúgva seg um, kunna tit byrja við einum hugaroki í flokkinum ella í bólkum.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Minnist til, at uppskotini kunnu blíva verulig uppskot, so takið hetta í álvara. Dømi: (Prutlini hjá Henrik (Prutlkoyrikort til 15 ár. Henrik tosar um uppskotið í Breddanum) Revsilisrætturin (Ikki sláa børn))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Fyrireiking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Nógv fyrireiking er, áðrenn eitt uppskot kann skrivast. Tað er gott at hava eina vitan um tað evnið, sum tit ætla at skriva eitt uppskot um. Á alnótini eru nógvar upplýsingar at finna, tit kunnu t.d. taka útgangsstøði í teimum heimasíðum, sum nevndar eru til seinast í hesi vegleiðingini. Á bókasøvnunum finst eisini tilfar. Tit kunnu eisini seta tykkum í samband við fólk, sum vita nakað um tað evnið, tit kundu hugsað tykkum at arbeitt við.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Skal tað gerast ein nýggj lóg, ein broyting til eina lóg, sum er frammanundan, ella eitt uppskot til samtyktar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Sum áður nevnt eru nógvar lógir í Føroyum, og tí kann tað vera, at tað longu er ein lóg, sum snýr seg júst um tað, sum tit halda, okkurt eigur at verða gjørt við.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Um tað longu er ein lóg, sum fevnir um tað evnið, sum tit hava áhuga fyri, kunnu tit gera eitt uppskot um at broyta ta lógina. Halda tit t.d., at upptøkukrøvini til at sleppa á miðnám skulu broytast, er tað ikki neyðugt við eini nýggjari lóg. Í staðin kunnu tit gera eitt uppskot til at broyta løgtingslógina um miðnámsútbúgvingar, tí tað er best at hava allar ásetingar um upptøku á miðnám í somu lóg.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Halda tit harafturímóti, at tað t.d. er brúk fyri at byggja eitt nýtt barnaheim ella seta á stovn ein umhvørviseftirskúla ella líknandi, skulu tit gera uppskot um eina nýggja løgtingslóg, tí tað finnast ikki lógir um júst hetta. Tann nýggja lógin skal lýsa, hvat uppskotið fevnir um og hava eina meting av, hvat kostnaðurin verður.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Tit kunnu eisini gera eitt uppskot til samtyktar, sum heitir á landsstýrið, um at leggja fyri Løgtingið eitt lógaruppskot um t.d. nýggja umhvørvislóg ella annað, og síðani greiða frá í viðmerkingunum, hvat lógin í høvuðsheitum skal snúgva seg 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Grundgevingar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Tá tit hava sett tykkum inn í evnið, skulu tit hugsa gjølla um grundgevingar tykkara fyri uppskotinum. Tit skulu eisini gera tykkum greitt, hvørjar avleiðingar uppskotið fær, um tað verður samtykt og greiða frá hesum í best møguligan mun.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Tit kunnu taka útgangsstøði í hesum spurningum: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Hvat er endamálið við uppskotinum?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Hví er tað neyðugt at lóggeva/kanna hetta?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Hvønn týdning fær lógin fyri ymiskar bólkar í samfelagnum?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Skal lógin vera galdandi fyri øll, ella bert nakrar fáar bólkar í samfelagnum?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Hvat fer tað at kosta, um lógin verður samtykt?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Spyrjið onnur um ráð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Tað kann vera eitt gott hugskot at spyrja onnur, hvat tey halda um uppskot tykkara. Um uppskotið snýr seg um ferðslu, kunnu tit t.d. spyrja løgregluna ella Ráðið fyri ferðslutrygd. Snýr uppskotið seg um fyribyrging, kunnu tit spyrja Fólkaheilsuráðið o.s.fr.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Men tað eru tit, sum gera av, hvat standa skal í uppskotinum, og ikki tey, sum tit spyrja til ráðs. Tey hava nevniliga ofta áhugamál, sum ávirka teirra áskoðan á eitt lógaruppskot.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Tað endaliga uppskotið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Tykkara uppgáva í Ungdómstinginum er at vera politikarar. Tað er tí av stórum týdningi, at tit hava tikið støðu til tað evnið, sum tit vilja kjakast um ella gera nakað við. Tað er av minni týdningi, um tit hava sett uppskotini rætt upp, ella um tit nýta løgfrøðiligan málburð, bara tit hava gjørt tykkara besta. Tá tit hava sent uppskotini inn, kanna vit m.a. uppseting og lógarsmíð, og gera neyðugar tillagingar.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Skriva navn á skúlanum og flokkinum ovast á síðuna og gev uppskotinum eina yvirskrift. Skrivið soleiðis, at øll lættliga kunnu lesa og skilja uppskot tykkara.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Í viðmerkingunum hava tit møguleika at grundgeva fyri uppskotinum. Her kunna tit eisini skriva, hvønn tit hava tosað við, og hvat tey hildu um lógaruppskotið.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 </w:t>
      </w:r>
      <w:r>
        <w:br/>
      </w:r>
      <w:r w:rsidRPr="04C2884A" w:rsidR="4BB9134D">
        <w:rPr>
          <w:rFonts w:ascii="Aptos" w:hAnsi="Aptos" w:eastAsia="Aptos" w:cs="Aptos"/>
          <w:b w:val="0"/>
          <w:bCs w:val="0"/>
          <w:i w:val="0"/>
          <w:iCs w:val="0"/>
          <w:caps w:val="0"/>
          <w:smallCaps w:val="0"/>
          <w:noProof w:val="0"/>
          <w:color w:val="000000" w:themeColor="text1" w:themeTint="FF" w:themeShade="FF"/>
          <w:sz w:val="24"/>
          <w:szCs w:val="24"/>
          <w:lang w:val="da-DK"/>
        </w:rPr>
        <w:t xml:space="preserve">Eisini kunnu tit í viðmerkingunum skriva um, hvørt tað standast fíggjarligar avleiðingar og/ella aðrar avleiðingar av uppskotinum hjá tykkum, og møguliga, hvussu stórar hesar verða mettar at vera. </w:t>
      </w:r>
      <w:r w:rsidRPr="04C2884A" w:rsidR="4BB9134D">
        <w:rPr>
          <w:rFonts w:ascii="Aptos" w:hAnsi="Aptos" w:eastAsia="Aptos" w:cs="Aptos"/>
          <w:noProof w:val="0"/>
          <w:sz w:val="24"/>
          <w:szCs w:val="24"/>
          <w:lang w:val="da-DK"/>
        </w:rPr>
        <w:t xml:space="preserv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0DF186"/>
    <w:rsid w:val="04C2884A"/>
    <w:rsid w:val="4BB9134D"/>
    <w:rsid w:val="4F0DF1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443E"/>
  <w15:chartTrackingRefBased/>
  <w15:docId w15:val="{F6A4CC56-2B34-42D0-97A2-9E34DF24B8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2025-11-18T14:50:54.2168652Z</dcterms:created>
  <dcterms:modified xsi:type="dcterms:W3CDTF">2025-11-18T14:51:34.6042278Z</dcterms:modified>
  <dc:creator>Drós Sveinsdóttir</dc:creator>
  <lastModifiedBy>Drós Sveinsdóttir</lastModifiedBy>
</coreProperties>
</file>